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E97D" w14:textId="7F6300D6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C6812" w:rsidRPr="00DC6812">
        <w:rPr>
          <w:rFonts w:ascii="Arial" w:hAnsi="Arial" w:cs="Arial"/>
          <w:b/>
          <w:bCs/>
          <w:sz w:val="28"/>
        </w:rPr>
        <w:t>R1-200200</w:t>
      </w:r>
      <w:r w:rsidR="008F46DB">
        <w:rPr>
          <w:rFonts w:ascii="Arial" w:hAnsi="Arial" w:cs="Arial"/>
          <w:b/>
          <w:bCs/>
          <w:sz w:val="28"/>
        </w:rPr>
        <w:t>7</w:t>
      </w:r>
    </w:p>
    <w:p w14:paraId="743D4376" w14:textId="77777777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669D10E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158BE">
        <w:rPr>
          <w:rFonts w:ascii="Arial" w:eastAsia="Malgun Gothic" w:hAnsi="Arial" w:cs="Arial"/>
          <w:b/>
          <w:sz w:val="24"/>
          <w:lang w:val="en-US" w:eastAsia="ko-KR"/>
        </w:rPr>
        <w:t>Low PAPR Reference Signals</w:t>
      </w:r>
    </w:p>
    <w:p w14:paraId="442797E2" w14:textId="5CDD0262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D158BE">
        <w:rPr>
          <w:rFonts w:ascii="Arial" w:hAnsi="Arial" w:cs="Arial"/>
          <w:b/>
          <w:sz w:val="24"/>
          <w:lang w:val="en-US"/>
        </w:rPr>
        <w:t>7.2.6.</w:t>
      </w:r>
      <w:r w:rsidR="00337121">
        <w:rPr>
          <w:rFonts w:ascii="Arial" w:hAnsi="Arial" w:cs="Arial"/>
          <w:b/>
          <w:sz w:val="24"/>
          <w:lang w:val="en-US"/>
        </w:rPr>
        <w:t>5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3599F15B" w:rsidR="00155CB4" w:rsidRPr="008B2417" w:rsidRDefault="00155CB4" w:rsidP="001731F6">
      <w:pPr>
        <w:spacing w:before="120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 xml:space="preserve">corrections to </w:t>
      </w:r>
      <w:r w:rsidR="008F46DB">
        <w:rPr>
          <w:sz w:val="22"/>
          <w:szCs w:val="22"/>
          <w:lang w:eastAsia="zh-CN"/>
        </w:rPr>
        <w:t>Low PAPR Reference Signals</w:t>
      </w:r>
      <w:r w:rsidR="006B4900">
        <w:rPr>
          <w:sz w:val="22"/>
          <w:szCs w:val="22"/>
          <w:lang w:eastAsia="zh-CN"/>
        </w:rPr>
        <w:t xml:space="preserve"> that has been introduced in Rel-16 as part of MIMO enhancement WID [1].</w:t>
      </w:r>
    </w:p>
    <w:p w14:paraId="58F80269" w14:textId="704BD4B1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38A0BB8D" w14:textId="3E5F618D" w:rsidR="00FD2B29" w:rsidRDefault="00155CB8" w:rsidP="001731F6">
      <w:pPr>
        <w:jc w:val="both"/>
        <w:rPr>
          <w:sz w:val="22"/>
          <w:szCs w:val="22"/>
          <w:lang w:val="en-US"/>
        </w:rPr>
      </w:pPr>
      <w:r w:rsidRPr="003F5651">
        <w:rPr>
          <w:sz w:val="22"/>
          <w:szCs w:val="22"/>
          <w:lang w:val="en-US"/>
        </w:rPr>
        <w:t xml:space="preserve">As part of normative work on low PAPR reference signals in Rel-16 NR, enhancements to PUCCH DM-RS for PUCCH format 3 and 4 were introduced for the case when </w:t>
      </w:r>
      <w:r w:rsidR="001B06D9" w:rsidRPr="003F5651">
        <w:rPr>
          <w:sz w:val="22"/>
          <w:szCs w:val="22"/>
          <w:lang w:val="en-US"/>
        </w:rPr>
        <w:t xml:space="preserve">transform precoding is used in conjunction with </w:t>
      </w:r>
      <m:oMath>
        <m:r>
          <w:rPr>
            <w:rFonts w:ascii="Cambria Math" w:hAnsi="Cambria Math"/>
            <w:sz w:val="22"/>
            <w:szCs w:val="22"/>
            <w:lang w:val="en-US"/>
          </w:rPr>
          <m:t>π</m:t>
        </m:r>
      </m:oMath>
      <w:r w:rsidR="000F2731" w:rsidRPr="003F5651">
        <w:rPr>
          <w:sz w:val="22"/>
          <w:szCs w:val="22"/>
          <w:lang w:val="en-US"/>
        </w:rPr>
        <w:t xml:space="preserve">/2-BPSK modulation. </w:t>
      </w:r>
      <w:r w:rsidR="002F43B6">
        <w:rPr>
          <w:sz w:val="22"/>
          <w:szCs w:val="22"/>
          <w:lang w:val="en-US"/>
        </w:rPr>
        <w:t>I</w:t>
      </w:r>
      <w:r w:rsidR="000F2731" w:rsidRPr="003F5651">
        <w:rPr>
          <w:sz w:val="22"/>
          <w:szCs w:val="22"/>
          <w:lang w:val="en-US"/>
        </w:rPr>
        <w:t>t was agreed that for sequences of length</w:t>
      </w:r>
      <w:r w:rsidR="008D410B" w:rsidRPr="003F5651">
        <w:rPr>
          <w:sz w:val="22"/>
          <w:szCs w:val="22"/>
          <w:lang w:val="en-US"/>
        </w:rPr>
        <w:t xml:space="preserve"> 30 and larger, Gold sequences generated in pre-DFT time domain </w:t>
      </w:r>
      <w:r w:rsidR="002F43B6">
        <w:rPr>
          <w:sz w:val="22"/>
          <w:szCs w:val="22"/>
          <w:lang w:val="en-US"/>
        </w:rPr>
        <w:t>will be</w:t>
      </w:r>
      <w:r w:rsidR="008D410B" w:rsidRPr="003F5651">
        <w:rPr>
          <w:sz w:val="22"/>
          <w:szCs w:val="22"/>
          <w:lang w:val="en-US"/>
        </w:rPr>
        <w:t xml:space="preserve"> used, whereas for sequences less than length 30, computer generated sequences </w:t>
      </w:r>
      <w:r w:rsidR="002F43B6">
        <w:rPr>
          <w:sz w:val="22"/>
          <w:szCs w:val="22"/>
          <w:lang w:val="en-US"/>
        </w:rPr>
        <w:t xml:space="preserve">(CGS) </w:t>
      </w:r>
      <w:r w:rsidR="008D410B" w:rsidRPr="003F5651">
        <w:rPr>
          <w:sz w:val="22"/>
          <w:szCs w:val="22"/>
          <w:lang w:val="en-US"/>
        </w:rPr>
        <w:t xml:space="preserve">were designed. </w:t>
      </w:r>
      <w:r w:rsidR="00FD2B29">
        <w:rPr>
          <w:sz w:val="22"/>
          <w:szCs w:val="22"/>
          <w:lang w:val="en-US"/>
        </w:rPr>
        <w:t xml:space="preserve">Both the designs yield non-constant modulus sequences when mapped to the frequency domain after transform precoding. </w:t>
      </w:r>
      <w:r w:rsidR="00B05F5F" w:rsidRPr="003F5651">
        <w:rPr>
          <w:sz w:val="22"/>
          <w:szCs w:val="22"/>
          <w:lang w:val="en-US"/>
        </w:rPr>
        <w:t>It was also agreed that a single PUCCH port is supported for both PF3 and PF4</w:t>
      </w:r>
      <w:r w:rsidR="008717A0" w:rsidRPr="003F5651">
        <w:rPr>
          <w:sz w:val="22"/>
          <w:szCs w:val="22"/>
          <w:lang w:val="en-US"/>
        </w:rPr>
        <w:t xml:space="preserve">. </w:t>
      </w:r>
    </w:p>
    <w:p w14:paraId="6ACB1F86" w14:textId="6C2E2F4B" w:rsidR="00011918" w:rsidRPr="003F5651" w:rsidRDefault="00FF437C" w:rsidP="001731F6">
      <w:pPr>
        <w:jc w:val="both"/>
        <w:rPr>
          <w:sz w:val="22"/>
          <w:szCs w:val="22"/>
          <w:lang w:val="en-US"/>
        </w:rPr>
      </w:pPr>
      <w:r w:rsidRPr="003F5651">
        <w:rPr>
          <w:sz w:val="22"/>
          <w:szCs w:val="22"/>
          <w:lang w:val="en-US"/>
        </w:rPr>
        <w:t xml:space="preserve">In </w:t>
      </w:r>
      <w:r w:rsidR="00FD2B29">
        <w:rPr>
          <w:sz w:val="22"/>
          <w:szCs w:val="22"/>
          <w:lang w:val="en-US"/>
        </w:rPr>
        <w:t>Rel</w:t>
      </w:r>
      <w:r w:rsidRPr="003F5651">
        <w:rPr>
          <w:sz w:val="22"/>
          <w:szCs w:val="22"/>
          <w:lang w:val="en-US"/>
        </w:rPr>
        <w:t xml:space="preserve">-15 </w:t>
      </w:r>
      <w:r w:rsidR="00FD2B29">
        <w:rPr>
          <w:sz w:val="22"/>
          <w:szCs w:val="22"/>
          <w:lang w:val="en-US"/>
        </w:rPr>
        <w:t>NR</w:t>
      </w:r>
      <w:r w:rsidRPr="003F5651">
        <w:rPr>
          <w:sz w:val="22"/>
          <w:szCs w:val="22"/>
          <w:lang w:val="en-US"/>
        </w:rPr>
        <w:t>, DM-RS</w:t>
      </w:r>
      <w:r w:rsidR="00063E5B" w:rsidRPr="003F5651">
        <w:rPr>
          <w:sz w:val="22"/>
          <w:szCs w:val="22"/>
          <w:lang w:val="en-US"/>
        </w:rPr>
        <w:t xml:space="preserve"> sequences were based on frequency domain constant modulus </w:t>
      </w:r>
      <w:r w:rsidR="00E52775" w:rsidRPr="003F5651">
        <w:rPr>
          <w:sz w:val="22"/>
          <w:szCs w:val="22"/>
          <w:lang w:val="en-US"/>
        </w:rPr>
        <w:t xml:space="preserve">CGS and </w:t>
      </w:r>
      <w:r w:rsidR="00063E5B" w:rsidRPr="003F5651">
        <w:rPr>
          <w:sz w:val="22"/>
          <w:szCs w:val="22"/>
          <w:lang w:val="en-US"/>
        </w:rPr>
        <w:t xml:space="preserve">ZC sequences and cyclic shifts </w:t>
      </w:r>
      <m:oMath>
        <m:r>
          <w:rPr>
            <w:rFonts w:ascii="Cambria Math" w:hAnsi="Cambria Math"/>
            <w:sz w:val="22"/>
            <w:szCs w:val="22"/>
            <w:lang w:val="en-US"/>
          </w:rPr>
          <m:t>α</m:t>
        </m:r>
      </m:oMath>
      <w:r w:rsidR="00063E5B" w:rsidRPr="003F5651">
        <w:rPr>
          <w:sz w:val="22"/>
          <w:szCs w:val="22"/>
          <w:lang w:val="en-US"/>
        </w:rPr>
        <w:t xml:space="preserve"> were specified </w:t>
      </w:r>
      <w:r w:rsidR="00F6557E" w:rsidRPr="003F5651">
        <w:rPr>
          <w:sz w:val="22"/>
          <w:szCs w:val="22"/>
          <w:lang w:val="en-US"/>
        </w:rPr>
        <w:t xml:space="preserve">yielding orthogonal sequences from the same root sequence enabling port multiplexing. Interference averaging by </w:t>
      </w:r>
      <w:r w:rsidR="00E52775" w:rsidRPr="003F5651">
        <w:rPr>
          <w:sz w:val="22"/>
          <w:szCs w:val="22"/>
          <w:lang w:val="en-US"/>
        </w:rPr>
        <w:t xml:space="preserve">ensuring different sequences across cells for the case of CGS sequences was achieved by </w:t>
      </w:r>
      <w:r w:rsidR="00AD6C38" w:rsidRPr="003F5651">
        <w:rPr>
          <w:sz w:val="22"/>
          <w:szCs w:val="22"/>
          <w:lang w:val="en-US"/>
        </w:rPr>
        <w:t>ensuring good cross correlation properties as well as sequence and group hopping mechanisms which have been carried forward in Rel-16.</w:t>
      </w:r>
    </w:p>
    <w:p w14:paraId="282B6E55" w14:textId="23A48874" w:rsidR="00155CB8" w:rsidRPr="003F5651" w:rsidRDefault="00AD6C38" w:rsidP="001731F6">
      <w:pPr>
        <w:jc w:val="both"/>
        <w:rPr>
          <w:sz w:val="22"/>
          <w:szCs w:val="22"/>
          <w:lang w:val="en-US"/>
        </w:rPr>
      </w:pPr>
      <w:r w:rsidRPr="003F5651">
        <w:rPr>
          <w:sz w:val="22"/>
          <w:szCs w:val="22"/>
          <w:lang w:val="en-US"/>
        </w:rPr>
        <w:t xml:space="preserve">However, </w:t>
      </w:r>
      <w:r w:rsidR="00011918" w:rsidRPr="003F5651">
        <w:rPr>
          <w:sz w:val="22"/>
          <w:szCs w:val="22"/>
          <w:lang w:val="en-US"/>
        </w:rPr>
        <w:t>current specification indicate</w:t>
      </w:r>
      <w:r w:rsidR="00BF61AC">
        <w:rPr>
          <w:sz w:val="22"/>
          <w:szCs w:val="22"/>
          <w:lang w:val="en-US"/>
        </w:rPr>
        <w:t>s</w:t>
      </w:r>
      <w:r w:rsidR="00011918" w:rsidRPr="003F5651">
        <w:rPr>
          <w:sz w:val="22"/>
          <w:szCs w:val="22"/>
          <w:lang w:val="en-US"/>
        </w:rPr>
        <w:t xml:space="preserve"> that cyclic shift values can be used even for </w:t>
      </w:r>
      <m:oMath>
        <m:r>
          <w:rPr>
            <w:rFonts w:ascii="Cambria Math" w:hAnsi="Cambria Math"/>
            <w:sz w:val="22"/>
            <w:szCs w:val="22"/>
            <w:lang w:val="en-US"/>
          </w:rPr>
          <m:t>π</m:t>
        </m:r>
      </m:oMath>
      <w:r w:rsidR="001731F6">
        <w:rPr>
          <w:sz w:val="22"/>
          <w:szCs w:val="22"/>
          <w:lang w:val="en-US"/>
        </w:rPr>
        <w:t>/2</w:t>
      </w:r>
      <w:r w:rsidR="00970671" w:rsidRPr="003F5651">
        <w:rPr>
          <w:sz w:val="22"/>
          <w:szCs w:val="22"/>
          <w:lang w:val="en-US"/>
        </w:rPr>
        <w:t>-BPSK DM-RS for PUCCH formats 3 and 4. Since the sequence design</w:t>
      </w:r>
      <w:r w:rsidR="00BA2847" w:rsidRPr="003F5651">
        <w:rPr>
          <w:sz w:val="22"/>
          <w:szCs w:val="22"/>
          <w:lang w:val="en-US"/>
        </w:rPr>
        <w:t xml:space="preserve"> was undertaken for single port</w:t>
      </w:r>
      <w:r w:rsidR="00F774B2" w:rsidRPr="003F5651">
        <w:rPr>
          <w:sz w:val="22"/>
          <w:szCs w:val="22"/>
          <w:lang w:val="en-US"/>
        </w:rPr>
        <w:t>, cross correlation across different root sequences was optimized</w:t>
      </w:r>
      <w:r w:rsidR="00D52162" w:rsidRPr="003F5651">
        <w:rPr>
          <w:sz w:val="22"/>
          <w:szCs w:val="22"/>
          <w:lang w:val="en-US"/>
        </w:rPr>
        <w:t xml:space="preserve">. The existence of </w:t>
      </w:r>
      <w:r w:rsidR="00BA2847" w:rsidRPr="003F5651">
        <w:rPr>
          <w:sz w:val="22"/>
          <w:szCs w:val="22"/>
          <w:lang w:val="en-US"/>
        </w:rPr>
        <w:t xml:space="preserve">sequence and group hopping </w:t>
      </w:r>
      <w:r w:rsidR="00D52162" w:rsidRPr="003F5651">
        <w:rPr>
          <w:sz w:val="22"/>
          <w:szCs w:val="22"/>
          <w:lang w:val="en-US"/>
        </w:rPr>
        <w:t xml:space="preserve">mechanisms make </w:t>
      </w:r>
      <w:r w:rsidR="00BA2847" w:rsidRPr="003F5651">
        <w:rPr>
          <w:sz w:val="22"/>
          <w:szCs w:val="22"/>
          <w:lang w:val="en-US"/>
        </w:rPr>
        <w:t>the use of cyclic shift</w:t>
      </w:r>
      <w:r w:rsidR="00330B70" w:rsidRPr="003F5651">
        <w:rPr>
          <w:sz w:val="22"/>
          <w:szCs w:val="22"/>
          <w:lang w:val="en-US"/>
        </w:rPr>
        <w:t xml:space="preserve"> somewhat redundant a</w:t>
      </w:r>
      <w:r w:rsidR="00BA2847" w:rsidRPr="003F5651">
        <w:rPr>
          <w:sz w:val="22"/>
          <w:szCs w:val="22"/>
          <w:lang w:val="en-US"/>
        </w:rPr>
        <w:t>nd the</w:t>
      </w:r>
      <w:r w:rsidR="00330B70" w:rsidRPr="003F5651">
        <w:rPr>
          <w:sz w:val="22"/>
          <w:szCs w:val="22"/>
          <w:lang w:val="en-US"/>
        </w:rPr>
        <w:t>refore</w:t>
      </w:r>
      <w:r w:rsidR="00BA2847" w:rsidRPr="003F5651">
        <w:rPr>
          <w:sz w:val="22"/>
          <w:szCs w:val="22"/>
          <w:lang w:val="en-US"/>
        </w:rPr>
        <w:t xml:space="preserve"> current sequences do not depend on the value of </w:t>
      </w:r>
      <m:oMath>
        <m:r>
          <w:rPr>
            <w:rFonts w:ascii="Cambria Math" w:hAnsi="Cambria Math"/>
            <w:sz w:val="22"/>
            <w:szCs w:val="22"/>
            <w:lang w:val="en-US"/>
          </w:rPr>
          <m:t>α</m:t>
        </m:r>
      </m:oMath>
      <w:r w:rsidR="007A0511" w:rsidRPr="003F5651">
        <w:rPr>
          <w:sz w:val="22"/>
          <w:szCs w:val="22"/>
          <w:lang w:val="en-US"/>
        </w:rPr>
        <w:t xml:space="preserve">. </w:t>
      </w:r>
      <w:r w:rsidR="000F4139" w:rsidRPr="003F5651">
        <w:rPr>
          <w:sz w:val="22"/>
          <w:szCs w:val="22"/>
          <w:lang w:val="en-US"/>
        </w:rPr>
        <w:t xml:space="preserve">This needs to be </w:t>
      </w:r>
      <w:r w:rsidR="00193944">
        <w:rPr>
          <w:sz w:val="22"/>
          <w:szCs w:val="22"/>
          <w:lang w:val="en-US"/>
        </w:rPr>
        <w:t>captured</w:t>
      </w:r>
      <w:bookmarkStart w:id="0" w:name="_GoBack"/>
      <w:bookmarkEnd w:id="0"/>
      <w:r w:rsidR="000F4139" w:rsidRPr="003F5651">
        <w:rPr>
          <w:sz w:val="22"/>
          <w:szCs w:val="22"/>
          <w:lang w:val="en-US"/>
        </w:rPr>
        <w:t xml:space="preserve"> in current specification and to this end, the following TP for </w:t>
      </w:r>
      <w:r w:rsidR="00917FC8" w:rsidRPr="003F5651">
        <w:rPr>
          <w:sz w:val="22"/>
          <w:szCs w:val="22"/>
          <w:lang w:val="en-US"/>
        </w:rPr>
        <w:t xml:space="preserve">TS </w:t>
      </w:r>
      <w:r w:rsidR="006438DA" w:rsidRPr="003F5651">
        <w:rPr>
          <w:sz w:val="22"/>
          <w:szCs w:val="22"/>
          <w:lang w:val="en-US"/>
        </w:rPr>
        <w:t>38.211 is proposed:</w:t>
      </w:r>
    </w:p>
    <w:p w14:paraId="1A251087" w14:textId="77777777" w:rsidR="003F5651" w:rsidRDefault="003F5651" w:rsidP="00155CB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38DA" w14:paraId="1589630A" w14:textId="77777777" w:rsidTr="006438DA">
        <w:tc>
          <w:tcPr>
            <w:tcW w:w="10160" w:type="dxa"/>
          </w:tcPr>
          <w:p w14:paraId="4B48C350" w14:textId="77777777" w:rsidR="00917FC8" w:rsidRDefault="00917FC8" w:rsidP="00917FC8">
            <w:pPr>
              <w:pStyle w:val="Heading3"/>
              <w:outlineLvl w:val="2"/>
            </w:pPr>
            <w:bookmarkStart w:id="1" w:name="_Toc29230277"/>
            <w:bookmarkStart w:id="2" w:name="_Toc36026536"/>
            <w:r>
              <w:t>5.2.3</w:t>
            </w:r>
            <w:r>
              <w:tab/>
              <w:t>Low-PAPR sequence generation type 2</w:t>
            </w:r>
            <w:bookmarkEnd w:id="1"/>
            <w:bookmarkEnd w:id="2"/>
          </w:p>
          <w:p w14:paraId="4179BE89" w14:textId="77777777" w:rsidR="00917FC8" w:rsidRDefault="00917FC8" w:rsidP="00917FC8">
            <w:r>
              <w:t xml:space="preserve">The low-PAPR sequence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u,v</m:t>
                  </m:r>
                </m:sub>
                <m:sup>
                  <m:r>
                    <w:rPr>
                      <w:rFonts w:ascii="Cambria Math" w:hAnsi="Cambria Math"/>
                    </w:rPr>
                    <m:t>(α,δ)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is defined by a base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according to </w:t>
            </w:r>
          </w:p>
          <w:p w14:paraId="768F6BE0" w14:textId="77777777" w:rsidR="00917FC8" w:rsidRDefault="00917FC8" w:rsidP="00917FC8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v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          0≤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  <w:p w14:paraId="7974EBDC" w14:textId="4450A627" w:rsidR="00A061CF" w:rsidRDefault="00917FC8" w:rsidP="003F5651">
            <w:pPr>
              <w:rPr>
                <w:lang w:val="en-US"/>
              </w:rPr>
            </w:pPr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M=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δ</m:t>
                      </m:r>
                    </m:sup>
                  </m:sSup>
                </m:den>
              </m:f>
            </m:oMath>
            <w:r>
              <w:t xml:space="preserve"> is the length of the sequence. Multiple sequences are defined from a single base sequence through different values of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α</m:t>
              </m:r>
            </m:oMath>
            <w:r w:rsidRPr="00D02707">
              <w:rPr>
                <w:strike/>
                <w:color w:val="FF0000"/>
              </w:rPr>
              <w:t xml:space="preserve"> and</w:t>
            </w:r>
            <w:r w:rsidRPr="00D02707">
              <w:rPr>
                <w:color w:val="FF0000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δ</m:t>
              </m:r>
            </m:oMath>
            <w:r>
              <w:t xml:space="preserve">. </w:t>
            </w:r>
          </w:p>
        </w:tc>
      </w:tr>
    </w:tbl>
    <w:p w14:paraId="444EB559" w14:textId="6502EF25" w:rsidR="006438DA" w:rsidRDefault="006438DA" w:rsidP="00155CB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F5651" w14:paraId="1D5007A2" w14:textId="77777777" w:rsidTr="003F5651">
        <w:tc>
          <w:tcPr>
            <w:tcW w:w="10160" w:type="dxa"/>
          </w:tcPr>
          <w:p w14:paraId="5F677FA6" w14:textId="77777777" w:rsidR="003F5651" w:rsidRDefault="003F5651" w:rsidP="003F5651">
            <w:pPr>
              <w:pStyle w:val="Heading5"/>
              <w:outlineLvl w:val="4"/>
            </w:pPr>
            <w:bookmarkStart w:id="3" w:name="_Toc19796468"/>
            <w:bookmarkStart w:id="4" w:name="_Toc26459694"/>
            <w:bookmarkStart w:id="5" w:name="_Toc29230344"/>
            <w:bookmarkStart w:id="6" w:name="_Toc36026603"/>
            <w:r>
              <w:lastRenderedPageBreak/>
              <w:t>6.4.1.3.3</w:t>
            </w:r>
            <w:r>
              <w:tab/>
              <w:t>Demodulation reference signal for PUCCH formats 3 and 4</w:t>
            </w:r>
            <w:bookmarkEnd w:id="3"/>
            <w:bookmarkEnd w:id="4"/>
            <w:bookmarkEnd w:id="5"/>
            <w:bookmarkEnd w:id="6"/>
          </w:p>
          <w:p w14:paraId="2098EEC1" w14:textId="77777777" w:rsidR="003F5651" w:rsidRDefault="003F5651" w:rsidP="003F5651">
            <w:pPr>
              <w:pStyle w:val="Heading6"/>
              <w:outlineLvl w:val="5"/>
            </w:pPr>
            <w:bookmarkStart w:id="7" w:name="_Toc19796469"/>
            <w:bookmarkStart w:id="8" w:name="_Toc26459695"/>
            <w:bookmarkStart w:id="9" w:name="_Toc29230345"/>
            <w:bookmarkStart w:id="10" w:name="_Toc36026604"/>
            <w:r>
              <w:t>6.4.1.3.3.1</w:t>
            </w:r>
            <w:r>
              <w:tab/>
              <w:t>Sequence generation</w:t>
            </w:r>
            <w:bookmarkEnd w:id="7"/>
            <w:bookmarkEnd w:id="8"/>
            <w:bookmarkEnd w:id="9"/>
            <w:bookmarkEnd w:id="10"/>
          </w:p>
          <w:p w14:paraId="260C27B9" w14:textId="77777777" w:rsidR="003F5651" w:rsidRDefault="003F5651" w:rsidP="003F5651">
            <w:r>
              <w:t xml:space="preserve">The reference-signal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shall be generated according to</w:t>
            </w:r>
          </w:p>
          <w:p w14:paraId="3B5CB43B" w14:textId="77777777" w:rsidR="003F5651" w:rsidRDefault="003F5651" w:rsidP="003F5651">
            <w:pPr>
              <w:pStyle w:val="EQ"/>
              <w:jc w:val="center"/>
            </w:pPr>
            <w:r w:rsidRPr="00264BAA">
              <w:rPr>
                <w:position w:val="-30"/>
              </w:rPr>
              <w:object w:dxaOrig="1880" w:dyaOrig="680" w14:anchorId="442F23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93.9pt;height:36.3pt" o:ole="">
                  <v:imagedata r:id="rId11" o:title=""/>
                </v:shape>
                <o:OLEObject Type="Embed" ProgID="Equation.DSMT4" ShapeID="_x0000_i1030" DrawAspect="Content" ObjectID="_1648033840" r:id="rId12"/>
              </w:object>
            </w:r>
          </w:p>
          <w:p w14:paraId="6E7B14F8" w14:textId="77777777" w:rsidR="003F5651" w:rsidRDefault="003F5651" w:rsidP="003F5651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</m:t>
                  </m:r>
                  <m:r>
                    <w:rPr>
                      <w:rFonts w:ascii="Cambria Math" w:hAnsi="Cambria Math"/>
                    </w:rPr>
                    <m:t>,s</m:t>
                  </m:r>
                </m:sup>
              </m:sSubSup>
            </m:oMath>
            <w:r>
              <w:t xml:space="preserve"> is given by clause 6.3.2.6.3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u,v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α,δ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(m)</m:t>
              </m:r>
            </m:oMath>
            <w:r>
              <w:t xml:space="preserve"> depends on the configuration:</w:t>
            </w:r>
          </w:p>
          <w:p w14:paraId="02E0709F" w14:textId="6D878C97" w:rsidR="003F5651" w:rsidRDefault="003F5651" w:rsidP="003F5651">
            <w:pPr>
              <w:pStyle w:val="B1"/>
            </w:pPr>
            <w:r>
              <w:t>-</w:t>
            </w:r>
            <w:r>
              <w:tab/>
              <w:t xml:space="preserve">if the higher-layer parameter </w:t>
            </w:r>
            <w:r>
              <w:rPr>
                <w:i/>
              </w:rPr>
              <w:t>dmrsU</w:t>
            </w:r>
            <w:r w:rsidRPr="00BD580D">
              <w:rPr>
                <w:i/>
              </w:rPr>
              <w:t>plinkTransformPrecodingPUCCH-r16</w:t>
            </w:r>
            <w:r>
              <w:t xml:space="preserve"> is configured,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is given by clause 5.2.3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>
              <w:t xml:space="preserve"> given by clause 6.4.1.3.2.1. </w:t>
            </w:r>
            <w:r>
              <w:rPr>
                <w:rFonts w:eastAsia="Malgun Gothic"/>
              </w:rPr>
              <w:t xml:space="preserve">The sequence group </w:t>
            </w:r>
            <m:oMath>
              <m:r>
                <w:rPr>
                  <w:rFonts w:ascii="Cambria Math" w:hAnsi="Cambria Math"/>
                </w:rPr>
                <m:t>u</m:t>
              </m:r>
            </m:oMath>
            <w:r>
              <w:t xml:space="preserve"> and </w:t>
            </w:r>
            <w:r>
              <w:rPr>
                <w:rFonts w:eastAsia="Malgun Gothic"/>
              </w:rPr>
              <w:t xml:space="preserve">the sequence number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depend on the sequence hopping in clause 6.3.2.2.1</w:t>
            </w:r>
            <w:r w:rsidR="001731F6" w:rsidRPr="001731F6">
              <w:rPr>
                <w:color w:val="FF0000"/>
              </w:rPr>
              <w:t>.</w:t>
            </w:r>
            <w:r>
              <w:t xml:space="preserve"> </w:t>
            </w:r>
            <w:r w:rsidRPr="0039383D">
              <w:rPr>
                <w:strike/>
                <w:color w:val="FF0000"/>
              </w:rPr>
              <w:t xml:space="preserve">and the cyclic shift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α</m:t>
              </m:r>
            </m:oMath>
            <w:r w:rsidRPr="0039383D">
              <w:rPr>
                <w:rFonts w:eastAsia="Malgun Gothic"/>
                <w:strike/>
                <w:color w:val="FF0000"/>
              </w:rPr>
              <w:t xml:space="preserve"> depends on the cyclic shift hopping in clause 6.3.2.2.2.</w:t>
            </w:r>
          </w:p>
          <w:p w14:paraId="774D476B" w14:textId="77777777" w:rsidR="003F5651" w:rsidRPr="005F42B8" w:rsidRDefault="003F5651" w:rsidP="003F5651">
            <w:pPr>
              <w:pStyle w:val="B1"/>
              <w:rPr>
                <w:color w:val="FF0000"/>
              </w:rPr>
            </w:pPr>
            <w:r>
              <w:t>-</w:t>
            </w:r>
            <w:r>
              <w:tab/>
              <w:t xml:space="preserve">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is given by clause 6.3.2.2. </w:t>
            </w:r>
            <w:r w:rsidRPr="005F42B8">
              <w:rPr>
                <w:color w:val="FF0000"/>
              </w:rPr>
              <w:t xml:space="preserve">The cyclic shift </w:t>
            </w:r>
            <m:oMath>
              <m:r>
                <w:rPr>
                  <w:rFonts w:ascii="Cambria Math" w:hAnsi="Cambria Math"/>
                  <w:color w:val="FF0000"/>
                </w:rPr>
                <m:t>α</m:t>
              </m:r>
            </m:oMath>
            <w:r w:rsidRPr="005F42B8">
              <w:rPr>
                <w:color w:val="FF0000"/>
              </w:rPr>
              <w:t xml:space="preserve"> varies with the symbol number and slot number according to clause 6.3.2.2.2 with </w:t>
            </w:r>
            <w:r w:rsidRPr="005F42B8">
              <w:rPr>
                <w:noProof/>
                <w:color w:val="FF0000"/>
                <w:position w:val="-10"/>
              </w:rPr>
              <w:drawing>
                <wp:inline distT="0" distB="0" distL="0" distR="0" wp14:anchorId="6AB9D4E6" wp14:editId="7629643A">
                  <wp:extent cx="361950" cy="180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42B8">
              <w:rPr>
                <w:color w:val="FF0000"/>
              </w:rPr>
              <w:t xml:space="preserve"> for PUCCH format 3 without interlaced mapping and obtained from Table 6.4.1.3.3.1-1 with the orthogonal sequence index </w:t>
            </w:r>
            <m:oMath>
              <m:r>
                <w:rPr>
                  <w:rFonts w:ascii="Cambria Math" w:hAnsi="Cambria Math"/>
                  <w:color w:val="FF0000"/>
                </w:rPr>
                <m:t>n</m:t>
              </m:r>
            </m:oMath>
            <w:r w:rsidRPr="005F42B8">
              <w:rPr>
                <w:color w:val="FF0000"/>
              </w:rPr>
              <w:t xml:space="preserve"> given by clause 6.3.2.6.3 for PUCCH format 3 with interlaced mapping and PUCCH format 4.</w:t>
            </w:r>
          </w:p>
          <w:p w14:paraId="6EAA7B7B" w14:textId="77777777" w:rsidR="003F5651" w:rsidRDefault="003F5651" w:rsidP="00155CB8">
            <w:pPr>
              <w:rPr>
                <w:lang w:val="en-US"/>
              </w:rPr>
            </w:pPr>
          </w:p>
        </w:tc>
      </w:tr>
    </w:tbl>
    <w:p w14:paraId="3C9D5B7F" w14:textId="77777777" w:rsidR="003F5651" w:rsidRPr="00155CB8" w:rsidRDefault="003F5651" w:rsidP="00155CB8">
      <w:pPr>
        <w:rPr>
          <w:lang w:val="en-US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764FE44" w14:textId="23FA073A" w:rsidR="004C1987" w:rsidRDefault="004C198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[1]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RP-182863, Revised WID: Enhancements on MIMO for NR, Samsung, RAN#82, Sorrento, December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5F5884B" w14:textId="2C7498D3" w:rsidR="00C934C7" w:rsidRDefault="00C934C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[2] TS 38.21</w:t>
      </w:r>
      <w:r w:rsidR="003C0242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“</w:t>
      </w:r>
      <w:r w:rsidR="0014215B" w:rsidRP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Physical </w:t>
      </w:r>
      <w:r w:rsidR="00893CB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Channels and Modulation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”, v16.1.0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C5C16" w14:textId="77777777" w:rsidR="00685DBC" w:rsidRDefault="00685DBC">
      <w:r>
        <w:separator/>
      </w:r>
    </w:p>
  </w:endnote>
  <w:endnote w:type="continuationSeparator" w:id="0">
    <w:p w14:paraId="2C1B2050" w14:textId="77777777" w:rsidR="00685DBC" w:rsidRDefault="0068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C384" w14:textId="77777777" w:rsidR="00685DBC" w:rsidRDefault="00685DBC">
      <w:r>
        <w:separator/>
      </w:r>
    </w:p>
  </w:footnote>
  <w:footnote w:type="continuationSeparator" w:id="0">
    <w:p w14:paraId="3B37CC0D" w14:textId="77777777" w:rsidR="00685DBC" w:rsidRDefault="0068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4"/>
  </w:num>
  <w:num w:numId="8">
    <w:abstractNumId w:val="2"/>
  </w:num>
  <w:num w:numId="9">
    <w:abstractNumId w:val="4"/>
  </w:num>
  <w:num w:numId="10">
    <w:abstractNumId w:val="23"/>
  </w:num>
  <w:num w:numId="11">
    <w:abstractNumId w:val="32"/>
  </w:num>
  <w:num w:numId="12">
    <w:abstractNumId w:val="3"/>
  </w:num>
  <w:num w:numId="13">
    <w:abstractNumId w:val="26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6"/>
  </w:num>
  <w:num w:numId="20">
    <w:abstractNumId w:val="25"/>
  </w:num>
  <w:num w:numId="21">
    <w:abstractNumId w:val="11"/>
  </w:num>
  <w:num w:numId="22">
    <w:abstractNumId w:val="30"/>
  </w:num>
  <w:num w:numId="23">
    <w:abstractNumId w:val="20"/>
  </w:num>
  <w:num w:numId="24">
    <w:abstractNumId w:val="18"/>
  </w:num>
  <w:num w:numId="25">
    <w:abstractNumId w:val="5"/>
  </w:num>
  <w:num w:numId="26">
    <w:abstractNumId w:val="31"/>
  </w:num>
  <w:num w:numId="27">
    <w:abstractNumId w:val="17"/>
  </w:num>
  <w:num w:numId="28">
    <w:abstractNumId w:val="27"/>
  </w:num>
  <w:num w:numId="29">
    <w:abstractNumId w:val="22"/>
  </w:num>
  <w:num w:numId="30">
    <w:abstractNumId w:val="14"/>
  </w:num>
  <w:num w:numId="31">
    <w:abstractNumId w:val="28"/>
  </w:num>
  <w:num w:numId="32">
    <w:abstractNumId w:val="29"/>
  </w:num>
  <w:num w:numId="3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B40"/>
    <w:rsid w:val="000F3FFF"/>
    <w:rsid w:val="000F4139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121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242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651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2A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3CB5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10B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DB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17FC8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38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927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4C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707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775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1E13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08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57E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B2E"/>
    <w:rsid w:val="00F76B74"/>
    <w:rsid w:val="00F76D2A"/>
    <w:rsid w:val="00F774B2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2B29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7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9D63E7F5E2AF4C8F062CC5E0B927D1" ma:contentTypeVersion="12" ma:contentTypeDescription="Создание документа." ma:contentTypeScope="" ma:versionID="7c22d374b1368c306e4fe7bb08a92adf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0714926f9f3a68a5eb77192875ae1bf7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0dab0fb6-698a-4b9b-abe1-187f7247665c"/>
    <ds:schemaRef ds:uri="c9c286ca-5454-4ef1-bb03-c8ce362b6d8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A0657-6D7A-46BA-ABE8-5A06CA072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EF208B-8BAA-46AC-A29F-53C559C05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527</Words>
  <Characters>2893</Characters>
  <Application>Microsoft Office Word</Application>
  <DocSecurity>0</DocSecurity>
  <Lines>51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3412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Sengupta, Avik</cp:lastModifiedBy>
  <cp:revision>70</cp:revision>
  <cp:lastPrinted>2011-11-09T07:49:00Z</cp:lastPrinted>
  <dcterms:created xsi:type="dcterms:W3CDTF">2020-02-14T10:45:00Z</dcterms:created>
  <dcterms:modified xsi:type="dcterms:W3CDTF">2020-04-10T20:34:00Z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2dfcdf81-98c8-4d01-bb36-2781b318b66b</vt:lpwstr>
  </property>
  <property fmtid="{D5CDD505-2E9C-101B-9397-08002B2CF9AE}" pid="10" name="CTP_BU">
    <vt:lpwstr>NA</vt:lpwstr>
  </property>
  <property fmtid="{D5CDD505-2E9C-101B-9397-08002B2CF9AE}" pid="11" name="CTP_TimeStamp">
    <vt:lpwstr>2020-04-10 20:34:45Z</vt:lpwstr>
  </property>
  <property fmtid="{D5CDD505-2E9C-101B-9397-08002B2CF9AE}" pid="12" name="ContentTypeId">
    <vt:lpwstr>0x010100169D63E7F5E2AF4C8F062CC5E0B927D1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